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15BD7A" w14:textId="6A41DD78" w:rsidR="0090288F" w:rsidRDefault="0090288F" w:rsidP="0090288F">
      <w:pPr>
        <w:rPr>
          <w:b/>
          <w:bCs/>
          <w:sz w:val="28"/>
          <w:szCs w:val="28"/>
        </w:rPr>
      </w:pPr>
      <w:r>
        <w:rPr>
          <w:b/>
          <w:bCs/>
          <w:sz w:val="28"/>
          <w:szCs w:val="28"/>
        </w:rPr>
        <w:t>UNDP KR SDG offer for 2022</w:t>
      </w:r>
    </w:p>
    <w:p w14:paraId="3B0ECDF3" w14:textId="57464985" w:rsidR="0090288F" w:rsidRDefault="0090288F" w:rsidP="0090288F">
      <w:r>
        <w:t>UNDP</w:t>
      </w:r>
      <w:r w:rsidR="00D702D6">
        <w:t xml:space="preserve"> aims to </w:t>
      </w:r>
      <w:r>
        <w:t>continue</w:t>
      </w:r>
      <w:r w:rsidR="00D702D6">
        <w:t xml:space="preserve"> it’s</w:t>
      </w:r>
      <w:r>
        <w:t xml:space="preserve"> commitment to</w:t>
      </w:r>
      <w:r w:rsidR="00BA3B7F">
        <w:t xml:space="preserve"> </w:t>
      </w:r>
      <w:r>
        <w:t xml:space="preserve">accompanying </w:t>
      </w:r>
      <w:r w:rsidR="00D702D6">
        <w:t>Kyrgyz Republic</w:t>
      </w:r>
      <w:r>
        <w:t xml:space="preserve"> in </w:t>
      </w:r>
      <w:r w:rsidR="00D702D6">
        <w:t>it’s</w:t>
      </w:r>
      <w:r>
        <w:t xml:space="preserve"> pathways towards the SDGs</w:t>
      </w:r>
      <w:r w:rsidR="00D702D6">
        <w:t>, by leveraging the diverse capabilities, resources and knowledge of the partners, including the UN system, IFIs, CSOs and NGOs, academia and private sector for stronger collective results</w:t>
      </w:r>
      <w:r w:rsidR="001F756C">
        <w:t>, as highlighted in UNDP strategic plan 2022-2025.</w:t>
      </w:r>
    </w:p>
    <w:p w14:paraId="499AFEE0" w14:textId="77777777" w:rsidR="001F756C" w:rsidRPr="001F756C" w:rsidRDefault="001F756C" w:rsidP="001F756C">
      <w:r w:rsidRPr="001F756C">
        <w:t xml:space="preserve">The commitment of the Kyrgyz Republic has been high to achieving the 2030 Agenda and integrating the Sustainable Development Goals (SDGs) into their national development. The Kyrgyz Republic has done well in aligning national policies with the 2030 Agenda. UNDP’s Rapid Integrated Assessment (RIA) conducted in early 2020 highlighted that the alignment of the SDGs with national strategic development planning is at 82%.  </w:t>
      </w:r>
    </w:p>
    <w:p w14:paraId="5A30A393" w14:textId="77777777" w:rsidR="001F756C" w:rsidRPr="001F756C" w:rsidRDefault="001F756C" w:rsidP="001F756C">
      <w:pPr>
        <w:jc w:val="both"/>
      </w:pPr>
      <w:r w:rsidRPr="001F756C">
        <w:t>Although the alignment is high, the implementation challenges remain in all areas of SDGs adaptation and implementation, including proper integration (not declarative), of SDGs into development programs at all levels- national, sectoral and regional, making budgeting and monitoring aligned with SDGs, data issues and limited financial resources and weak capacity to work on SDG integration at full scale. The Covid-19 impacted negatively the SDGs gains of the KR, no doubt.</w:t>
      </w:r>
    </w:p>
    <w:p w14:paraId="77173C96" w14:textId="6943DC08" w:rsidR="001F756C" w:rsidRDefault="001F756C" w:rsidP="0090288F">
      <w:r>
        <w:t>To address these challenges, UNDP KR SDG offer will include the support in the following areas:</w:t>
      </w:r>
    </w:p>
    <w:p w14:paraId="6FC26607" w14:textId="44710CA6" w:rsidR="001F756C" w:rsidRDefault="00F16A47" w:rsidP="001F756C">
      <w:pPr>
        <w:spacing w:after="240"/>
        <w:jc w:val="both"/>
      </w:pPr>
      <w:r>
        <w:rPr>
          <w:b/>
          <w:bCs/>
        </w:rPr>
        <w:t xml:space="preserve">First and </w:t>
      </w:r>
      <w:r w:rsidR="00DE1548">
        <w:rPr>
          <w:b/>
          <w:bCs/>
        </w:rPr>
        <w:t xml:space="preserve">most importantly, </w:t>
      </w:r>
      <w:r w:rsidR="001F756C" w:rsidRPr="001F756C">
        <w:rPr>
          <w:b/>
          <w:bCs/>
        </w:rPr>
        <w:t>SDG coordination</w:t>
      </w:r>
      <w:r w:rsidR="001F756C">
        <w:rPr>
          <w:b/>
          <w:bCs/>
        </w:rPr>
        <w:t xml:space="preserve"> needs to be strengthened. </w:t>
      </w:r>
      <w:r w:rsidR="001F756C" w:rsidRPr="001F756C">
        <w:t>It has been going through the changes in the context of the recent reforms</w:t>
      </w:r>
      <w:r w:rsidR="00DE1548">
        <w:t>.</w:t>
      </w:r>
      <w:r w:rsidR="001F756C" w:rsidRPr="001F756C">
        <w:t xml:space="preserve"> A new SDG coordination mechanism is being put in place and to become official very soon during December 2022</w:t>
      </w:r>
      <w:r w:rsidR="00697486">
        <w:t>-January 2023</w:t>
      </w:r>
      <w:r w:rsidR="001F756C" w:rsidRPr="001F756C">
        <w:t>. SDG Council will serve as a high-level decision-making body chaired by the Prime-Minister and co-chaired by the Head of Political and Economic Research of the President’s Administration. The Institute of Economic Studies under the Cabinet of Ministers will serve as SDG Secretariat to carry out all aspects of work on SDG coordination and implementation in the Kyrgyz Republic, in close collaboration with all key stakeholders. To address the coordination and implementation challenges, there is a need for joint action and innovative partnerships at national and local levels. Such a partnership will require collaboration and communication across all sectors and levels. All actors- public, private, domestic, international – have a role to play in ensuring that necessary steps are taken for the achievement of SDGs, with leaving no one behind. UNDP KR can offer it’s technical leading role in this process</w:t>
      </w:r>
      <w:r w:rsidR="001F756C">
        <w:t xml:space="preserve"> by:</w:t>
      </w:r>
    </w:p>
    <w:p w14:paraId="0291FC47" w14:textId="77E628B8" w:rsidR="00987BA5" w:rsidRPr="00987BA5" w:rsidRDefault="00694E11" w:rsidP="001F756C">
      <w:pPr>
        <w:pStyle w:val="a4"/>
        <w:numPr>
          <w:ilvl w:val="0"/>
          <w:numId w:val="1"/>
        </w:numPr>
        <w:spacing w:after="240"/>
        <w:jc w:val="both"/>
      </w:pPr>
      <w:r>
        <w:rPr>
          <w:b/>
          <w:bCs/>
        </w:rPr>
        <w:t xml:space="preserve">Setting up </w:t>
      </w:r>
      <w:r w:rsidR="003D57EE">
        <w:rPr>
          <w:b/>
          <w:bCs/>
        </w:rPr>
        <w:t xml:space="preserve">SDG </w:t>
      </w:r>
      <w:r>
        <w:rPr>
          <w:b/>
          <w:bCs/>
        </w:rPr>
        <w:t>technical working group</w:t>
      </w:r>
      <w:r w:rsidR="00DD6C43">
        <w:rPr>
          <w:b/>
          <w:bCs/>
        </w:rPr>
        <w:t xml:space="preserve">, </w:t>
      </w:r>
      <w:r w:rsidR="00DD6C43" w:rsidRPr="00987BA5">
        <w:t>consisting of key champio</w:t>
      </w:r>
      <w:r w:rsidR="00F061E9">
        <w:t>ns</w:t>
      </w:r>
      <w:r w:rsidR="00DD6C43" w:rsidRPr="00987BA5">
        <w:t xml:space="preserve"> from the SDG unit of the President’s Administration</w:t>
      </w:r>
      <w:r w:rsidR="00444E66" w:rsidRPr="00987BA5">
        <w:t xml:space="preserve"> (SDG PA), SDG working group of the Parliament, Ministry of Economy and Commerce</w:t>
      </w:r>
      <w:r w:rsidR="004342FF">
        <w:t xml:space="preserve"> (MEC)</w:t>
      </w:r>
      <w:r w:rsidR="00444E66" w:rsidRPr="00987BA5">
        <w:t>, Ministry of Finance</w:t>
      </w:r>
      <w:r w:rsidR="004342FF">
        <w:t xml:space="preserve"> (MF)</w:t>
      </w:r>
      <w:r w:rsidR="00987BA5">
        <w:t>, National Statistical Committee (NSC)</w:t>
      </w:r>
      <w:r w:rsidR="00F061E9">
        <w:t xml:space="preserve"> to serve as a technical coordination group for </w:t>
      </w:r>
      <w:r w:rsidR="00437732">
        <w:t xml:space="preserve">planning and implementing SDG related activities at all levels with all involved stakeholders. </w:t>
      </w:r>
      <w:r w:rsidR="009C0E86">
        <w:t>Key planning of SDG activities will be done by this WG,</w:t>
      </w:r>
      <w:r w:rsidR="00D701D5">
        <w:t xml:space="preserve"> including the second VNR preparations. It will also help to minimize </w:t>
      </w:r>
      <w:r w:rsidR="009C0E86">
        <w:t>ad hoc requests</w:t>
      </w:r>
      <w:r w:rsidR="00D701D5">
        <w:t>.</w:t>
      </w:r>
      <w:r w:rsidR="009C0E86">
        <w:t xml:space="preserve"> </w:t>
      </w:r>
      <w:r w:rsidR="00E833DE" w:rsidRPr="00E833DE">
        <w:rPr>
          <w:u w:val="single"/>
        </w:rPr>
        <w:t>Required TRAC b</w:t>
      </w:r>
      <w:r w:rsidR="006E12DA" w:rsidRPr="00E833DE">
        <w:rPr>
          <w:u w:val="single"/>
        </w:rPr>
        <w:t>udget is 7,000USD</w:t>
      </w:r>
      <w:r w:rsidR="006E12DA">
        <w:t xml:space="preserve"> for 2 key events.</w:t>
      </w:r>
    </w:p>
    <w:p w14:paraId="0075525C" w14:textId="5BD10226" w:rsidR="007F1A33" w:rsidRDefault="00450A93" w:rsidP="004358AC">
      <w:pPr>
        <w:pStyle w:val="a4"/>
        <w:numPr>
          <w:ilvl w:val="0"/>
          <w:numId w:val="1"/>
        </w:numPr>
        <w:spacing w:after="240"/>
        <w:jc w:val="both"/>
      </w:pPr>
      <w:r w:rsidRPr="004358AC">
        <w:rPr>
          <w:b/>
          <w:bCs/>
        </w:rPr>
        <w:t xml:space="preserve">Initiating </w:t>
      </w:r>
      <w:r w:rsidR="001F756C" w:rsidRPr="004358AC">
        <w:rPr>
          <w:b/>
          <w:bCs/>
        </w:rPr>
        <w:t>annual National SDG forums</w:t>
      </w:r>
      <w:r w:rsidR="00697486" w:rsidRPr="004358AC">
        <w:rPr>
          <w:b/>
          <w:bCs/>
        </w:rPr>
        <w:t xml:space="preserve"> as a national platform</w:t>
      </w:r>
      <w:r w:rsidR="001F756C">
        <w:t xml:space="preserve"> </w:t>
      </w:r>
      <w:r w:rsidR="001F756C" w:rsidRPr="001F756C">
        <w:t xml:space="preserve">to </w:t>
      </w:r>
      <w:r w:rsidR="00957128">
        <w:t xml:space="preserve">support multistakeholder approaches to improve collaboration between </w:t>
      </w:r>
      <w:r w:rsidR="00E833DE">
        <w:t>goverment</w:t>
      </w:r>
      <w:r w:rsidR="00957128">
        <w:t xml:space="preserve">, </w:t>
      </w:r>
      <w:r w:rsidR="00E833DE">
        <w:t xml:space="preserve">CSOs, citizens, Parliament. </w:t>
      </w:r>
      <w:r w:rsidR="001F756C" w:rsidRPr="001F756C">
        <w:t>UNDP’s role as Integrator will be important to co-lead the Forum along with the RCO and other UN agencies</w:t>
      </w:r>
      <w:r w:rsidR="001F756C">
        <w:t xml:space="preserve"> and development partners</w:t>
      </w:r>
      <w:r w:rsidR="001F756C" w:rsidRPr="001F756C">
        <w:t xml:space="preserve"> in the KR</w:t>
      </w:r>
      <w:r w:rsidR="001F756C">
        <w:t>, joining financial resources and knowledge</w:t>
      </w:r>
      <w:r w:rsidR="001F756C" w:rsidRPr="001F756C">
        <w:t>. UNDP KR is already planning to support such forum in 2023, in partnership with the P</w:t>
      </w:r>
      <w:r w:rsidR="001F756C">
        <w:t xml:space="preserve">resident’s </w:t>
      </w:r>
      <w:r w:rsidR="001F756C" w:rsidRPr="001F756C">
        <w:t>A</w:t>
      </w:r>
      <w:r w:rsidR="001F756C">
        <w:t>dministration</w:t>
      </w:r>
      <w:r w:rsidR="001F756C" w:rsidRPr="001F756C">
        <w:t xml:space="preserve">. </w:t>
      </w:r>
      <w:r w:rsidR="00E833DE" w:rsidRPr="00E833DE">
        <w:rPr>
          <w:u w:val="single"/>
        </w:rPr>
        <w:t>Required TRAC b</w:t>
      </w:r>
      <w:r w:rsidR="001F756C" w:rsidRPr="00E833DE">
        <w:rPr>
          <w:u w:val="single"/>
        </w:rPr>
        <w:t xml:space="preserve">udget is o/a </w:t>
      </w:r>
      <w:r w:rsidR="006E12DA" w:rsidRPr="00E833DE">
        <w:rPr>
          <w:u w:val="single"/>
        </w:rPr>
        <w:t>20</w:t>
      </w:r>
      <w:r w:rsidR="001F756C" w:rsidRPr="00E833DE">
        <w:rPr>
          <w:u w:val="single"/>
        </w:rPr>
        <w:t xml:space="preserve">,000USD </w:t>
      </w:r>
      <w:r w:rsidR="001F756C">
        <w:t>and other co-funding from RCO, UN agencies and development partners need to be facilitated.</w:t>
      </w:r>
      <w:r w:rsidR="004A08FA">
        <w:t xml:space="preserve"> </w:t>
      </w:r>
    </w:p>
    <w:p w14:paraId="59E7A881" w14:textId="4993A27E" w:rsidR="003610E3" w:rsidRDefault="003610E3" w:rsidP="007F1A33">
      <w:pPr>
        <w:spacing w:after="240"/>
        <w:jc w:val="both"/>
      </w:pPr>
      <w:r>
        <w:rPr>
          <w:b/>
          <w:bCs/>
        </w:rPr>
        <w:t xml:space="preserve">Key partners: </w:t>
      </w:r>
      <w:r w:rsidRPr="003610E3">
        <w:t xml:space="preserve">SDG unit of the President’s Administration, </w:t>
      </w:r>
      <w:r w:rsidR="00957128">
        <w:t xml:space="preserve">SDG working group of the Parliament, </w:t>
      </w:r>
      <w:r w:rsidRPr="003610E3">
        <w:t>Institute of Economic Policy Research under the Cabinet, Ministry of Economy</w:t>
      </w:r>
      <w:r>
        <w:t xml:space="preserve"> and Commerce</w:t>
      </w:r>
      <w:r w:rsidRPr="003610E3">
        <w:t>, Ministry of Finance, National Statistical Committee, GIZ</w:t>
      </w:r>
      <w:r w:rsidR="009C0E86">
        <w:t>, RCO.</w:t>
      </w:r>
    </w:p>
    <w:p w14:paraId="713C8D2C" w14:textId="19747B3D" w:rsidR="00983232" w:rsidRDefault="00983232" w:rsidP="007F1A33">
      <w:pPr>
        <w:spacing w:after="240"/>
        <w:jc w:val="both"/>
        <w:rPr>
          <w:b/>
          <w:bCs/>
        </w:rPr>
      </w:pPr>
      <w:r>
        <w:rPr>
          <w:b/>
          <w:bCs/>
        </w:rPr>
        <w:lastRenderedPageBreak/>
        <w:t>SDG finance:</w:t>
      </w:r>
    </w:p>
    <w:p w14:paraId="36AA0061" w14:textId="5BD4566F" w:rsidR="003610E3" w:rsidRPr="003610E3" w:rsidRDefault="009C0E86" w:rsidP="00DF4F20">
      <w:pPr>
        <w:pStyle w:val="a5"/>
        <w:spacing w:before="0" w:beforeAutospacing="0" w:after="120" w:afterAutospacing="0" w:line="264" w:lineRule="auto"/>
        <w:jc w:val="both"/>
        <w:rPr>
          <w:rFonts w:asciiTheme="minorHAnsi" w:eastAsiaTheme="minorHAnsi" w:hAnsiTheme="minorHAnsi" w:cstheme="minorHAnsi"/>
          <w:sz w:val="22"/>
          <w:szCs w:val="22"/>
          <w:lang w:val="en-US" w:eastAsia="en-US"/>
        </w:rPr>
      </w:pPr>
      <w:r w:rsidRPr="009C0E86">
        <w:rPr>
          <w:rFonts w:asciiTheme="minorHAnsi" w:eastAsiaTheme="minorHAnsi" w:hAnsiTheme="minorHAnsi" w:cstheme="minorHAnsi"/>
          <w:sz w:val="22"/>
          <w:szCs w:val="22"/>
          <w:lang w:val="en-US" w:eastAsia="en-US"/>
        </w:rPr>
        <w:t xml:space="preserve">To complement INFF work, UNDP KR can use the opportunities provided by </w:t>
      </w:r>
      <w:r w:rsidR="008F731E" w:rsidRPr="009C0E86">
        <w:rPr>
          <w:rFonts w:asciiTheme="minorHAnsi" w:eastAsiaTheme="minorHAnsi" w:hAnsiTheme="minorHAnsi" w:cstheme="minorHAnsi"/>
          <w:sz w:val="22"/>
          <w:szCs w:val="22"/>
          <w:lang w:val="en-US" w:eastAsia="en-US"/>
        </w:rPr>
        <w:t>IRH initiative on SDG Finance</w:t>
      </w:r>
      <w:r w:rsidR="00DF4F20">
        <w:rPr>
          <w:rFonts w:asciiTheme="minorHAnsi" w:eastAsiaTheme="minorHAnsi" w:hAnsiTheme="minorHAnsi" w:cstheme="minorHAnsi"/>
          <w:sz w:val="22"/>
          <w:szCs w:val="22"/>
          <w:lang w:val="en-US" w:eastAsia="en-US"/>
        </w:rPr>
        <w:t xml:space="preserve">, including </w:t>
      </w:r>
      <w:r w:rsidR="00DF4F20" w:rsidRPr="006E12DA">
        <w:rPr>
          <w:rFonts w:asciiTheme="minorHAnsi" w:eastAsiaTheme="minorHAnsi" w:hAnsiTheme="minorHAnsi" w:cstheme="minorHAnsi"/>
          <w:i/>
          <w:iCs/>
          <w:sz w:val="22"/>
          <w:szCs w:val="22"/>
          <w:lang w:val="en-US" w:eastAsia="en-US"/>
        </w:rPr>
        <w:t>SDG Finance</w:t>
      </w:r>
      <w:r w:rsidR="008F731E" w:rsidRPr="006E12DA">
        <w:rPr>
          <w:rFonts w:asciiTheme="minorHAnsi" w:eastAsiaTheme="minorHAnsi" w:hAnsiTheme="minorHAnsi" w:cstheme="minorHAnsi"/>
          <w:i/>
          <w:iCs/>
          <w:sz w:val="22"/>
          <w:szCs w:val="22"/>
          <w:lang w:val="en-US" w:eastAsia="en-US"/>
        </w:rPr>
        <w:t xml:space="preserve"> catalytic funding-1</w:t>
      </w:r>
      <w:r w:rsidR="00DF4F20">
        <w:rPr>
          <w:rFonts w:asciiTheme="minorHAnsi" w:eastAsiaTheme="minorHAnsi" w:hAnsiTheme="minorHAnsi" w:cstheme="minorHAnsi"/>
          <w:sz w:val="22"/>
          <w:szCs w:val="22"/>
          <w:lang w:val="en-US" w:eastAsia="en-US"/>
        </w:rPr>
        <w:t xml:space="preserve"> to support the interested CO  </w:t>
      </w:r>
      <w:r w:rsidR="00DF4F20" w:rsidRPr="003610E3">
        <w:rPr>
          <w:rFonts w:asciiTheme="minorHAnsi" w:eastAsiaTheme="minorHAnsi" w:hAnsiTheme="minorHAnsi" w:cstheme="minorHAnsi"/>
          <w:sz w:val="22"/>
          <w:szCs w:val="22"/>
          <w:lang w:val="en-US" w:eastAsia="en-US"/>
        </w:rPr>
        <w:t>in designing the best intervention mix on SDG finance tools to be deployed in the context of that country</w:t>
      </w:r>
      <w:r w:rsidR="00DF4F20">
        <w:rPr>
          <w:rFonts w:asciiTheme="minorHAnsi" w:eastAsiaTheme="minorHAnsi" w:hAnsiTheme="minorHAnsi" w:cstheme="minorHAnsi"/>
          <w:sz w:val="22"/>
          <w:szCs w:val="22"/>
          <w:lang w:val="en-US" w:eastAsia="en-US"/>
        </w:rPr>
        <w:t xml:space="preserve"> and </w:t>
      </w:r>
      <w:r w:rsidR="00DF4F20" w:rsidRPr="006E12DA">
        <w:rPr>
          <w:rFonts w:asciiTheme="minorHAnsi" w:eastAsiaTheme="minorHAnsi" w:hAnsiTheme="minorHAnsi" w:cstheme="minorHAnsi"/>
          <w:i/>
          <w:iCs/>
          <w:sz w:val="22"/>
          <w:szCs w:val="22"/>
          <w:lang w:val="en-US" w:eastAsia="en-US"/>
        </w:rPr>
        <w:t>SDG finance catalytic funding-2</w:t>
      </w:r>
      <w:r w:rsidR="00DF4F20">
        <w:rPr>
          <w:rFonts w:asciiTheme="minorHAnsi" w:eastAsiaTheme="minorHAnsi" w:hAnsiTheme="minorHAnsi" w:cstheme="minorHAnsi"/>
          <w:sz w:val="22"/>
          <w:szCs w:val="22"/>
          <w:lang w:val="en-US" w:eastAsia="en-US"/>
        </w:rPr>
        <w:t xml:space="preserve"> to facilitate</w:t>
      </w:r>
      <w:r w:rsidR="003610E3" w:rsidRPr="003610E3">
        <w:rPr>
          <w:rFonts w:asciiTheme="minorHAnsi" w:eastAsiaTheme="minorHAnsi" w:hAnsiTheme="minorHAnsi" w:cstheme="minorHAnsi"/>
          <w:sz w:val="22"/>
          <w:szCs w:val="22"/>
          <w:lang w:val="en-US" w:eastAsia="en-US"/>
        </w:rPr>
        <w:t xml:space="preserve"> the dialogue on SDG Financing Strategy between the public and private sectors</w:t>
      </w:r>
      <w:r w:rsidR="00DF4F20">
        <w:rPr>
          <w:rFonts w:asciiTheme="minorHAnsi" w:eastAsiaTheme="minorHAnsi" w:hAnsiTheme="minorHAnsi" w:cstheme="minorHAnsi"/>
          <w:sz w:val="22"/>
          <w:szCs w:val="22"/>
          <w:lang w:val="en-US" w:eastAsia="en-US"/>
        </w:rPr>
        <w:t xml:space="preserve">, aiming </w:t>
      </w:r>
      <w:r w:rsidR="003610E3" w:rsidRPr="003610E3">
        <w:rPr>
          <w:rFonts w:asciiTheme="minorHAnsi" w:eastAsiaTheme="minorHAnsi" w:hAnsiTheme="minorHAnsi" w:cstheme="minorHAnsi"/>
          <w:sz w:val="22"/>
          <w:szCs w:val="22"/>
          <w:lang w:val="en-US" w:eastAsia="en-US"/>
        </w:rPr>
        <w:t>to create and facilitate a platform where various national and international financing actors will regularly exchange information on their financing priorities, programmes, needs for mutual support and synergies.</w:t>
      </w:r>
      <w:r w:rsidR="00DF4F20">
        <w:rPr>
          <w:rFonts w:asciiTheme="minorHAnsi" w:eastAsiaTheme="minorHAnsi" w:hAnsiTheme="minorHAnsi" w:cstheme="minorHAnsi"/>
          <w:sz w:val="22"/>
          <w:szCs w:val="22"/>
          <w:lang w:val="en-US" w:eastAsia="en-US"/>
        </w:rPr>
        <w:t xml:space="preserve"> IRH provides 20,000USD</w:t>
      </w:r>
      <w:r w:rsidR="00C51F98">
        <w:rPr>
          <w:rFonts w:asciiTheme="minorHAnsi" w:eastAsiaTheme="minorHAnsi" w:hAnsiTheme="minorHAnsi" w:cstheme="minorHAnsi"/>
          <w:sz w:val="22"/>
          <w:szCs w:val="22"/>
          <w:lang w:val="en-US" w:eastAsia="en-US"/>
        </w:rPr>
        <w:t xml:space="preserve"> to hire local consultancy by CO</w:t>
      </w:r>
      <w:r w:rsidR="00DF4F20">
        <w:rPr>
          <w:rFonts w:asciiTheme="minorHAnsi" w:eastAsiaTheme="minorHAnsi" w:hAnsiTheme="minorHAnsi" w:cstheme="minorHAnsi"/>
          <w:sz w:val="22"/>
          <w:szCs w:val="22"/>
          <w:lang w:val="en-US" w:eastAsia="en-US"/>
        </w:rPr>
        <w:t xml:space="preserve"> and it is highly recommended to use this opportunity. </w:t>
      </w:r>
      <w:r w:rsidR="00C51F98">
        <w:rPr>
          <w:rFonts w:asciiTheme="minorHAnsi" w:eastAsiaTheme="minorHAnsi" w:hAnsiTheme="minorHAnsi" w:cstheme="minorHAnsi"/>
          <w:sz w:val="22"/>
          <w:szCs w:val="22"/>
          <w:lang w:val="en-US" w:eastAsia="en-US"/>
        </w:rPr>
        <w:t>Suren Poghosyan is the focal point at IRH.</w:t>
      </w:r>
    </w:p>
    <w:p w14:paraId="24A88297" w14:textId="1FBF8BF7" w:rsidR="008F731E" w:rsidRPr="006E12DA" w:rsidRDefault="006E12DA" w:rsidP="007F1A33">
      <w:pPr>
        <w:spacing w:after="240"/>
        <w:jc w:val="both"/>
      </w:pPr>
      <w:r>
        <w:rPr>
          <w:b/>
          <w:bCs/>
        </w:rPr>
        <w:t xml:space="preserve">Key partners: </w:t>
      </w:r>
      <w:r w:rsidRPr="006E12DA">
        <w:t>Ministry of Finance, Ministry of Economy and Commerce, private sector</w:t>
      </w:r>
    </w:p>
    <w:p w14:paraId="263DE617" w14:textId="4111A275" w:rsidR="00A21AF5" w:rsidRDefault="00A21AF5" w:rsidP="007F1A33">
      <w:pPr>
        <w:spacing w:after="240"/>
        <w:jc w:val="both"/>
        <w:rPr>
          <w:b/>
          <w:bCs/>
        </w:rPr>
      </w:pPr>
      <w:r>
        <w:rPr>
          <w:b/>
          <w:bCs/>
        </w:rPr>
        <w:t>SDG budget tagging</w:t>
      </w:r>
    </w:p>
    <w:p w14:paraId="2F9DF798" w14:textId="29D9CE36" w:rsidR="006746D5" w:rsidRDefault="006746D5" w:rsidP="006746D5">
      <w:pPr>
        <w:shd w:val="clear" w:color="auto" w:fill="FFFFFF"/>
        <w:spacing w:before="120" w:after="120" w:line="276" w:lineRule="auto"/>
        <w:jc w:val="both"/>
        <w:rPr>
          <w:rFonts w:cstheme="minorHAnsi"/>
        </w:rPr>
      </w:pPr>
      <w:r w:rsidRPr="00F85739">
        <w:rPr>
          <w:rFonts w:cstheme="minorHAnsi"/>
        </w:rPr>
        <w:t xml:space="preserve">As Kyrgyz Republic is </w:t>
      </w:r>
      <w:r>
        <w:rPr>
          <w:rFonts w:cstheme="minorHAnsi"/>
        </w:rPr>
        <w:t xml:space="preserve">making all efforts to achieve the set targets and indicators of SDGs, it is of critical importance to make big investments aligned with SDGs, to contribute to sustainability of the impact. </w:t>
      </w:r>
      <w:r w:rsidRPr="00C6706A">
        <w:rPr>
          <w:rFonts w:cstheme="minorHAnsi"/>
        </w:rPr>
        <w:t>The Community Development and Investment Agency of the Kyrgyz Republic (ARIS</w:t>
      </w:r>
      <w:r w:rsidRPr="006746D5">
        <w:rPr>
          <w:rFonts w:cstheme="minorHAnsi"/>
        </w:rPr>
        <w:t xml:space="preserve">) </w:t>
      </w:r>
      <w:r w:rsidRPr="00193988">
        <w:rPr>
          <w:rFonts w:cstheme="minorHAnsi"/>
        </w:rPr>
        <w:t xml:space="preserve">can serve as a model </w:t>
      </w:r>
      <w:r>
        <w:rPr>
          <w:rFonts w:cstheme="minorHAnsi"/>
        </w:rPr>
        <w:t>to demonstrate SDG-alignment in big investments, if it can carry out key sets of activities to make its country programme aligned with the SDGs. F</w:t>
      </w:r>
      <w:r w:rsidRPr="002C0837">
        <w:rPr>
          <w:rFonts w:cstheme="minorHAnsi"/>
        </w:rPr>
        <w:t>ounded by the</w:t>
      </w:r>
      <w:r>
        <w:rPr>
          <w:rFonts w:cstheme="minorHAnsi"/>
        </w:rPr>
        <w:t xml:space="preserve"> Order of the President of the Kyrgyz Republic in 15 October, 2003, ARIS has been implementing investment projects funded by WB, ADB, IFAD, Islamic Development Fund Group, Saudi Fund for Development in all rural regions of the country. </w:t>
      </w:r>
      <w:r w:rsidRPr="002C0837">
        <w:rPr>
          <w:rFonts w:cstheme="minorHAnsi"/>
        </w:rPr>
        <w:t xml:space="preserve"> </w:t>
      </w:r>
      <w:r>
        <w:rPr>
          <w:rFonts w:cstheme="minorHAnsi"/>
        </w:rPr>
        <w:t xml:space="preserve">The current portfolio </w:t>
      </w:r>
      <w:r w:rsidRPr="00D43C08">
        <w:rPr>
          <w:rFonts w:cstheme="minorHAnsi"/>
        </w:rPr>
        <w:t>$377 mln</w:t>
      </w:r>
      <w:r>
        <w:rPr>
          <w:rFonts w:cstheme="minorHAnsi"/>
        </w:rPr>
        <w:t xml:space="preserve">, </w:t>
      </w:r>
      <w:r w:rsidRPr="00D43C08">
        <w:rPr>
          <w:rFonts w:cstheme="minorHAnsi"/>
        </w:rPr>
        <w:t>contributing to diverse projects for rural communities in the areas of economic, environmental and social development, including on water provision, sustainable pasture management, health etc.</w:t>
      </w:r>
      <w:r w:rsidR="00957128">
        <w:rPr>
          <w:rFonts w:cstheme="minorHAnsi"/>
        </w:rPr>
        <w:t xml:space="preserve"> </w:t>
      </w:r>
      <w:r>
        <w:rPr>
          <w:rFonts w:cstheme="minorHAnsi"/>
        </w:rPr>
        <w:t>UNDP will use the results and lessons learned of the exercise for the future programming.</w:t>
      </w:r>
    </w:p>
    <w:p w14:paraId="5A303BD6" w14:textId="32A8702C" w:rsidR="006746D5" w:rsidRPr="00E833DE" w:rsidRDefault="006746D5" w:rsidP="006746D5">
      <w:pPr>
        <w:shd w:val="clear" w:color="auto" w:fill="FFFFFF"/>
        <w:spacing w:before="120" w:after="120" w:line="276" w:lineRule="auto"/>
        <w:jc w:val="both"/>
        <w:rPr>
          <w:rFonts w:cstheme="minorHAnsi"/>
          <w:u w:val="single"/>
        </w:rPr>
      </w:pPr>
      <w:r>
        <w:rPr>
          <w:rFonts w:cstheme="minorHAnsi"/>
        </w:rPr>
        <w:t xml:space="preserve">UNDP and ARIS has agreed to undertake the Rapid Integrated Assessment (RIA) to measure the level of SDGs integration in its programming and budgeting. UNDP KR will provide technical expertise to implement the RIA, with the support of the UNDP Istanbul Regional Hub (IRH) and lead international consultant supported by local expert. </w:t>
      </w:r>
      <w:r w:rsidRPr="00E833DE">
        <w:rPr>
          <w:rFonts w:cstheme="minorHAnsi"/>
          <w:u w:val="single"/>
        </w:rPr>
        <w:t xml:space="preserve">The estimated </w:t>
      </w:r>
      <w:r w:rsidR="00E833DE">
        <w:rPr>
          <w:rFonts w:cstheme="minorHAnsi"/>
          <w:u w:val="single"/>
        </w:rPr>
        <w:t xml:space="preserve">TRAC </w:t>
      </w:r>
      <w:r w:rsidRPr="00E833DE">
        <w:rPr>
          <w:rFonts w:cstheme="minorHAnsi"/>
          <w:u w:val="single"/>
        </w:rPr>
        <w:t>budget is 2</w:t>
      </w:r>
      <w:r w:rsidR="006E12DA" w:rsidRPr="00E833DE">
        <w:rPr>
          <w:rFonts w:cstheme="minorHAnsi"/>
          <w:u w:val="single"/>
        </w:rPr>
        <w:t>5</w:t>
      </w:r>
      <w:r w:rsidRPr="00E833DE">
        <w:rPr>
          <w:rFonts w:cstheme="minorHAnsi"/>
          <w:u w:val="single"/>
        </w:rPr>
        <w:t>,000USD.</w:t>
      </w:r>
    </w:p>
    <w:p w14:paraId="3F5FFCA1" w14:textId="414FB4D9" w:rsidR="00957128" w:rsidRPr="00563E7D" w:rsidRDefault="00957128" w:rsidP="006746D5">
      <w:pPr>
        <w:shd w:val="clear" w:color="auto" w:fill="FFFFFF"/>
        <w:spacing w:before="120" w:after="120" w:line="276" w:lineRule="auto"/>
        <w:jc w:val="both"/>
        <w:rPr>
          <w:rFonts w:cstheme="minorHAnsi"/>
        </w:rPr>
      </w:pPr>
      <w:r w:rsidRPr="00957128">
        <w:rPr>
          <w:rFonts w:cstheme="minorHAnsi"/>
          <w:b/>
          <w:bCs/>
        </w:rPr>
        <w:t>Key partners</w:t>
      </w:r>
      <w:r>
        <w:rPr>
          <w:rFonts w:cstheme="minorHAnsi"/>
        </w:rPr>
        <w:t>: ARIS, IRH, Ministry of Finance, NSC</w:t>
      </w:r>
    </w:p>
    <w:p w14:paraId="559AFCE9" w14:textId="77777777" w:rsidR="006E12DA" w:rsidRDefault="006E12DA" w:rsidP="006E12DA">
      <w:pPr>
        <w:spacing w:after="240"/>
        <w:jc w:val="both"/>
        <w:rPr>
          <w:b/>
          <w:bCs/>
        </w:rPr>
      </w:pPr>
      <w:r>
        <w:rPr>
          <w:b/>
          <w:bCs/>
        </w:rPr>
        <w:t>SDG costing</w:t>
      </w:r>
    </w:p>
    <w:p w14:paraId="59D741BF" w14:textId="20990757" w:rsidR="00D701D5" w:rsidRPr="00D701D5" w:rsidRDefault="00D701D5" w:rsidP="00D701D5">
      <w:pPr>
        <w:spacing w:after="200" w:line="276" w:lineRule="auto"/>
        <w:jc w:val="both"/>
      </w:pPr>
      <w:r w:rsidRPr="00D701D5">
        <w:rPr>
          <w:rFonts w:cstheme="minorHAnsi"/>
        </w:rPr>
        <w:t>The financing of SDGs, as one of the key implementation means, presents multi-fold challenges for the Kyrgyz Republic and requires comprehensive efforts from the government and key partners.</w:t>
      </w:r>
    </w:p>
    <w:p w14:paraId="16FB8B26" w14:textId="19F2E60B" w:rsidR="00D701D5" w:rsidRPr="00D701D5" w:rsidRDefault="00D701D5" w:rsidP="00D701D5">
      <w:pPr>
        <w:tabs>
          <w:tab w:val="right" w:pos="8701"/>
        </w:tabs>
        <w:spacing w:after="120" w:line="240" w:lineRule="auto"/>
        <w:ind w:right="72"/>
        <w:jc w:val="both"/>
        <w:rPr>
          <w:rFonts w:cstheme="minorHAnsi"/>
        </w:rPr>
      </w:pPr>
      <w:r w:rsidRPr="00D701D5">
        <w:rPr>
          <w:rFonts w:cstheme="minorHAnsi"/>
        </w:rPr>
        <w:t>SDG-aligned National Development Programme (NDS-2026) costing analysis will provide stronger evidence for an improved policy framework for public and private finance to deliver the NDS and should become an integral part of the national planning and financing process. SDG costing is a fundamental part of the national planning and financing policy cycle and should not be viewed as a on</w:t>
      </w:r>
      <w:r w:rsidR="007E71B4">
        <w:rPr>
          <w:rFonts w:cstheme="minorHAnsi"/>
        </w:rPr>
        <w:t>e</w:t>
      </w:r>
      <w:r w:rsidRPr="00D701D5">
        <w:rPr>
          <w:rFonts w:cstheme="minorHAnsi"/>
        </w:rPr>
        <w:t>-off exercise.</w:t>
      </w:r>
    </w:p>
    <w:p w14:paraId="235FBDCA" w14:textId="7B46EAE0" w:rsidR="00B051FE" w:rsidRPr="00957128" w:rsidRDefault="00D701D5" w:rsidP="00957128">
      <w:pPr>
        <w:spacing w:before="120" w:after="120" w:line="240" w:lineRule="auto"/>
        <w:jc w:val="both"/>
        <w:rPr>
          <w:rFonts w:cstheme="minorHAnsi"/>
        </w:rPr>
      </w:pPr>
      <w:r w:rsidRPr="00D701D5">
        <w:rPr>
          <w:rFonts w:cstheme="minorHAnsi"/>
        </w:rPr>
        <w:t xml:space="preserve">SDG costing is useful for multiple reasons. It can accelerate SDG implementation, facilitate discussions on integrated approaches to financing, identifying fiscal space and resource mobilization, assist with making the case for a priority initiative/SDG Accelerator, </w:t>
      </w:r>
      <w:r w:rsidR="00957128">
        <w:rPr>
          <w:rFonts w:cstheme="minorHAnsi"/>
        </w:rPr>
        <w:t xml:space="preserve">strengthen better understanding of SDGs inter-connectivity, improve cost efficiency, </w:t>
      </w:r>
      <w:r w:rsidRPr="00D701D5">
        <w:rPr>
          <w:rFonts w:cstheme="minorHAnsi"/>
        </w:rPr>
        <w:t>inform advocacy and promote whole-of-government approaches and new ways of delivering.</w:t>
      </w:r>
      <w:r w:rsidR="00957128">
        <w:rPr>
          <w:rFonts w:cstheme="minorHAnsi"/>
        </w:rPr>
        <w:t xml:space="preserve"> SDG costing is in the AWP of the INFF JP and it has a dedicated budget of 13,000USD to hire local consultancy in partnership with UNICEF with their part of the budget of 19,000USD. </w:t>
      </w:r>
      <w:r w:rsidR="00957128" w:rsidRPr="00E833DE">
        <w:rPr>
          <w:rFonts w:cstheme="minorHAnsi"/>
          <w:u w:val="single"/>
        </w:rPr>
        <w:t>Required co-funding from TRAC: 5,000USD.</w:t>
      </w:r>
    </w:p>
    <w:p w14:paraId="5399C086" w14:textId="77777777" w:rsidR="00617A3A" w:rsidRDefault="00617A3A" w:rsidP="00F17390">
      <w:pPr>
        <w:spacing w:after="240"/>
        <w:jc w:val="both"/>
        <w:rPr>
          <w:b/>
          <w:bCs/>
        </w:rPr>
      </w:pPr>
    </w:p>
    <w:p w14:paraId="3FF15558" w14:textId="77777777" w:rsidR="00617A3A" w:rsidRDefault="00617A3A" w:rsidP="00F17390">
      <w:pPr>
        <w:spacing w:after="240"/>
        <w:jc w:val="both"/>
        <w:rPr>
          <w:b/>
          <w:bCs/>
        </w:rPr>
      </w:pPr>
    </w:p>
    <w:p w14:paraId="7B52774B" w14:textId="4C7BAEE5" w:rsidR="00F17390" w:rsidRDefault="008826D3" w:rsidP="00F17390">
      <w:pPr>
        <w:spacing w:after="240"/>
        <w:jc w:val="both"/>
        <w:rPr>
          <w:b/>
          <w:bCs/>
        </w:rPr>
      </w:pPr>
      <w:r>
        <w:rPr>
          <w:b/>
          <w:bCs/>
        </w:rPr>
        <w:lastRenderedPageBreak/>
        <w:t>Performance Audit</w:t>
      </w:r>
    </w:p>
    <w:p w14:paraId="2D9601CC" w14:textId="4DE38ED0" w:rsidR="0042402B" w:rsidRDefault="007F3B50" w:rsidP="00F17390">
      <w:pPr>
        <w:spacing w:after="240"/>
        <w:jc w:val="both"/>
        <w:rPr>
          <w:i/>
          <w:iCs/>
        </w:rPr>
      </w:pPr>
      <w:r>
        <w:t>P</w:t>
      </w:r>
      <w:r w:rsidR="006908B8" w:rsidRPr="006908B8">
        <w:t xml:space="preserve">erformance </w:t>
      </w:r>
      <w:r w:rsidR="0042402B">
        <w:t xml:space="preserve">audit </w:t>
      </w:r>
      <w:r>
        <w:t>aims</w:t>
      </w:r>
      <w:r w:rsidR="0042402B">
        <w:t xml:space="preserve"> to </w:t>
      </w:r>
      <w:r w:rsidR="00617A3A">
        <w:t xml:space="preserve">evaluate </w:t>
      </w:r>
      <w:r w:rsidR="000B2855">
        <w:t>economy,</w:t>
      </w:r>
      <w:r w:rsidR="00617A3A">
        <w:t xml:space="preserve"> efficiency and effectiveness of government programs to make them work better. </w:t>
      </w:r>
      <w:r w:rsidR="0042402B">
        <w:t xml:space="preserve">UNDP can support </w:t>
      </w:r>
      <w:r w:rsidR="00617A3A">
        <w:t xml:space="preserve">it by </w:t>
      </w:r>
      <w:r w:rsidR="0042402B">
        <w:t>capacity building, awareness raising and advocacy activities</w:t>
      </w:r>
      <w:r w:rsidR="00DA507D">
        <w:t>.</w:t>
      </w:r>
      <w:r w:rsidR="00A028C9">
        <w:t xml:space="preserve"> UNICEF, as part of INFF, has been conducting the work with the Chamber of Accounts</w:t>
      </w:r>
      <w:r w:rsidR="00EE100B">
        <w:t xml:space="preserve"> on performance audit and all possible synergies will be made</w:t>
      </w:r>
      <w:r w:rsidR="00AF34CF">
        <w:t xml:space="preserve">. </w:t>
      </w:r>
      <w:r w:rsidR="0042402B">
        <w:t xml:space="preserve"> </w:t>
      </w:r>
      <w:r w:rsidR="0042402B" w:rsidRPr="0042402B">
        <w:rPr>
          <w:i/>
          <w:iCs/>
        </w:rPr>
        <w:t>Required TRAC budget</w:t>
      </w:r>
      <w:r w:rsidR="00316A0F">
        <w:rPr>
          <w:i/>
          <w:iCs/>
        </w:rPr>
        <w:t xml:space="preserve"> estimate</w:t>
      </w:r>
      <w:r w:rsidR="0042402B" w:rsidRPr="0042402B">
        <w:rPr>
          <w:i/>
          <w:iCs/>
        </w:rPr>
        <w:t>: 20,000USD.</w:t>
      </w:r>
    </w:p>
    <w:p w14:paraId="51F73004" w14:textId="5395AA5A" w:rsidR="008826D3" w:rsidRPr="0042402B" w:rsidRDefault="0042402B" w:rsidP="007F1A33">
      <w:pPr>
        <w:spacing w:after="240"/>
        <w:jc w:val="both"/>
      </w:pPr>
      <w:r>
        <w:rPr>
          <w:b/>
          <w:bCs/>
        </w:rPr>
        <w:t>Key partners</w:t>
      </w:r>
      <w:r w:rsidRPr="00525376">
        <w:t xml:space="preserve">: </w:t>
      </w:r>
      <w:r w:rsidR="00525376" w:rsidRPr="00525376">
        <w:t>SDG technical working group</w:t>
      </w:r>
      <w:r w:rsidR="00525376">
        <w:rPr>
          <w:b/>
          <w:bCs/>
        </w:rPr>
        <w:t xml:space="preserve">, </w:t>
      </w:r>
      <w:r w:rsidRPr="0042402B">
        <w:t>Chamber of Accounts, Parliament</w:t>
      </w:r>
      <w:r w:rsidR="008E13A4">
        <w:t>, CSOs</w:t>
      </w:r>
    </w:p>
    <w:p w14:paraId="0F033205" w14:textId="2ED74243" w:rsidR="00927F14" w:rsidRPr="00927F14" w:rsidRDefault="00927F14" w:rsidP="00927F14">
      <w:pPr>
        <w:rPr>
          <w:b/>
          <w:bCs/>
        </w:rPr>
      </w:pPr>
      <w:r w:rsidRPr="00927F14">
        <w:rPr>
          <w:b/>
          <w:bCs/>
        </w:rPr>
        <w:t>N</w:t>
      </w:r>
      <w:r>
        <w:rPr>
          <w:b/>
          <w:bCs/>
        </w:rPr>
        <w:t>EW ADDITIONAL ACTIVITIES:</w:t>
      </w:r>
    </w:p>
    <w:p w14:paraId="19E059AA" w14:textId="5CA2FAB6" w:rsidR="00927F14" w:rsidRPr="00927F14" w:rsidRDefault="00927F14" w:rsidP="00927F14">
      <w:pPr>
        <w:rPr>
          <w:i/>
          <w:iCs/>
        </w:rPr>
      </w:pPr>
      <w:r w:rsidRPr="00617A3A">
        <w:rPr>
          <w:b/>
          <w:bCs/>
        </w:rPr>
        <w:t>Capacity building for SDGs</w:t>
      </w:r>
      <w:r w:rsidRPr="00617A3A">
        <w:t xml:space="preserve"> should be as a continuum, not one-off activity. SDG induction seminar for the new staff of the President’s Administration in July 30-31, 2022 </w:t>
      </w:r>
      <w:r>
        <w:t xml:space="preserve">demonstrated the need for such training activities based on the specific needs of the government. </w:t>
      </w:r>
      <w:r w:rsidRPr="00927F14">
        <w:rPr>
          <w:i/>
          <w:iCs/>
        </w:rPr>
        <w:t>Required budget from TRAC: 15,000USD</w:t>
      </w:r>
      <w:r w:rsidR="00172755">
        <w:rPr>
          <w:i/>
          <w:iCs/>
        </w:rPr>
        <w:t xml:space="preserve"> and other co-funding is </w:t>
      </w:r>
      <w:r w:rsidR="00525376">
        <w:rPr>
          <w:i/>
          <w:iCs/>
        </w:rPr>
        <w:t>to be explored.</w:t>
      </w:r>
    </w:p>
    <w:p w14:paraId="49ECBB75" w14:textId="201F7028" w:rsidR="00927F14" w:rsidRPr="00927F14" w:rsidRDefault="00927F14" w:rsidP="00927F14">
      <w:r w:rsidRPr="00525376">
        <w:rPr>
          <w:b/>
          <w:bCs/>
        </w:rPr>
        <w:t>Key partner</w:t>
      </w:r>
      <w:r w:rsidR="00525376" w:rsidRPr="00525376">
        <w:rPr>
          <w:b/>
          <w:bCs/>
        </w:rPr>
        <w:t>s</w:t>
      </w:r>
      <w:r w:rsidRPr="00525376">
        <w:rPr>
          <w:b/>
          <w:bCs/>
        </w:rPr>
        <w:t>:</w:t>
      </w:r>
      <w:r w:rsidRPr="00927F14">
        <w:t xml:space="preserve"> </w:t>
      </w:r>
      <w:r w:rsidR="00525376">
        <w:t>SDG t</w:t>
      </w:r>
      <w:r w:rsidRPr="00927F14">
        <w:t>echnical working group,</w:t>
      </w:r>
      <w:r>
        <w:rPr>
          <w:b/>
          <w:bCs/>
        </w:rPr>
        <w:t xml:space="preserve"> </w:t>
      </w:r>
      <w:r w:rsidRPr="00987BA5">
        <w:t>consisting of key champio</w:t>
      </w:r>
      <w:r>
        <w:t>ns</w:t>
      </w:r>
      <w:r w:rsidRPr="00987BA5">
        <w:t xml:space="preserve"> from the SDG unit of the President’s Administration (SDG PA), SDG working group of the Parliament, Ministry of Economy and Commerce</w:t>
      </w:r>
      <w:r>
        <w:t xml:space="preserve"> (MEC)</w:t>
      </w:r>
      <w:r w:rsidRPr="00987BA5">
        <w:t>, Ministry of Finance</w:t>
      </w:r>
      <w:r>
        <w:t xml:space="preserve"> (MF), National Statistical Committee (NSC)</w:t>
      </w:r>
    </w:p>
    <w:p w14:paraId="4226615B" w14:textId="5BD69367" w:rsidR="00B80257" w:rsidRPr="00201DEB" w:rsidRDefault="00B80257" w:rsidP="007F1A33">
      <w:pPr>
        <w:spacing w:after="240"/>
        <w:jc w:val="both"/>
      </w:pPr>
      <w:r>
        <w:rPr>
          <w:b/>
          <w:bCs/>
        </w:rPr>
        <w:t xml:space="preserve">Preparation of the second </w:t>
      </w:r>
      <w:r w:rsidR="0067482D">
        <w:rPr>
          <w:b/>
          <w:bCs/>
        </w:rPr>
        <w:t xml:space="preserve">VNR </w:t>
      </w:r>
      <w:r w:rsidR="0067482D" w:rsidRPr="00910836">
        <w:t>can start in 202</w:t>
      </w:r>
      <w:r w:rsidR="00D266E4" w:rsidRPr="00910836">
        <w:t xml:space="preserve">3, if the country intends to submit it in 2025. The country </w:t>
      </w:r>
      <w:r w:rsidR="00A40037">
        <w:t>application</w:t>
      </w:r>
      <w:r w:rsidR="00D266E4" w:rsidRPr="00910836">
        <w:t xml:space="preserve"> should be submitted to the UN</w:t>
      </w:r>
      <w:r w:rsidR="00910836">
        <w:t xml:space="preserve"> H</w:t>
      </w:r>
      <w:r w:rsidR="00AD40E4">
        <w:t xml:space="preserve">Q in 2023. </w:t>
      </w:r>
      <w:r w:rsidR="00B502CB">
        <w:t>UNDP can take a technical lead role in close collaboration with the RCO to support the KR</w:t>
      </w:r>
      <w:r w:rsidR="008167CF">
        <w:t xml:space="preserve"> second VNR. </w:t>
      </w:r>
      <w:r w:rsidR="008A0C2B">
        <w:t>Co-funding is to be ensured from all sides, including RCO, UN agencies</w:t>
      </w:r>
      <w:r w:rsidR="00201DEB">
        <w:t xml:space="preserve"> and </w:t>
      </w:r>
      <w:r w:rsidR="008A0C2B">
        <w:t>UNDP</w:t>
      </w:r>
      <w:r w:rsidR="00201DEB">
        <w:t>.</w:t>
      </w:r>
    </w:p>
    <w:p w14:paraId="4955CD62" w14:textId="1A72D371" w:rsidR="00BC5B6D" w:rsidRPr="00C1185B" w:rsidRDefault="00BC5B6D" w:rsidP="007F1A33">
      <w:pPr>
        <w:spacing w:after="240"/>
        <w:jc w:val="both"/>
        <w:rPr>
          <w:b/>
          <w:bCs/>
        </w:rPr>
      </w:pPr>
      <w:r w:rsidRPr="00BC5B6D">
        <w:rPr>
          <w:b/>
          <w:bCs/>
        </w:rPr>
        <w:t xml:space="preserve">Leaving No One Behind (LNOB) </w:t>
      </w:r>
    </w:p>
    <w:p w14:paraId="5AE552ED" w14:textId="757DF93A" w:rsidR="00BC5B6D" w:rsidRDefault="00BC5B6D" w:rsidP="007F1A33">
      <w:pPr>
        <w:spacing w:after="240"/>
        <w:jc w:val="both"/>
        <w:rPr>
          <w:i/>
          <w:iCs/>
        </w:rPr>
      </w:pPr>
      <w:r>
        <w:t>LNOB principle of SDGs requires more data to design targeted projects to address the identified needs</w:t>
      </w:r>
      <w:r w:rsidR="00C42EED">
        <w:t xml:space="preserve"> of the most vulnerable groups</w:t>
      </w:r>
      <w:r>
        <w:t xml:space="preserve">. UNDP can partner with a local research organization to gather and analyze existing data, identify data gaps and </w:t>
      </w:r>
      <w:r w:rsidR="00C42EED">
        <w:t xml:space="preserve">plan and implement </w:t>
      </w:r>
      <w:r>
        <w:t>actions/interventions</w:t>
      </w:r>
      <w:r w:rsidR="007E71B4">
        <w:t xml:space="preserve"> to address challenges, barriers and capacity</w:t>
      </w:r>
      <w:r w:rsidR="0041666E">
        <w:t xml:space="preserve"> and data</w:t>
      </w:r>
      <w:r w:rsidR="007E71B4">
        <w:t xml:space="preserve"> gaps</w:t>
      </w:r>
      <w:r>
        <w:t xml:space="preserve">. </w:t>
      </w:r>
      <w:r w:rsidR="00434C31" w:rsidRPr="00A40037">
        <w:rPr>
          <w:u w:val="single"/>
        </w:rPr>
        <w:t>The findings of the research can be used for Resource Mobilization</w:t>
      </w:r>
      <w:r w:rsidR="00172755">
        <w:t xml:space="preserve">. </w:t>
      </w:r>
      <w:r w:rsidRPr="007E71B4">
        <w:rPr>
          <w:i/>
          <w:iCs/>
        </w:rPr>
        <w:t xml:space="preserve">Required </w:t>
      </w:r>
      <w:r w:rsidR="0006520B">
        <w:rPr>
          <w:i/>
          <w:iCs/>
        </w:rPr>
        <w:t xml:space="preserve">estimated </w:t>
      </w:r>
      <w:r w:rsidRPr="007E71B4">
        <w:rPr>
          <w:i/>
          <w:iCs/>
        </w:rPr>
        <w:t xml:space="preserve">budget from TRAC: </w:t>
      </w:r>
      <w:r w:rsidR="007E71B4" w:rsidRPr="007E71B4">
        <w:rPr>
          <w:i/>
          <w:iCs/>
        </w:rPr>
        <w:t>30,000USD</w:t>
      </w:r>
    </w:p>
    <w:p w14:paraId="4684A294" w14:textId="1DA69D64" w:rsidR="0090288F" w:rsidRPr="00CB4BEC" w:rsidRDefault="0090288F" w:rsidP="00CB4BEC">
      <w:pPr>
        <w:spacing w:after="240"/>
        <w:jc w:val="both"/>
        <w:rPr>
          <w:b/>
          <w:bCs/>
        </w:rPr>
      </w:pPr>
      <w:r w:rsidRPr="00CB4BEC">
        <w:rPr>
          <w:b/>
          <w:bCs/>
        </w:rPr>
        <w:t>Strengthening statistical data for SDG monitoring</w:t>
      </w:r>
      <w:r w:rsidR="009C1647">
        <w:rPr>
          <w:b/>
          <w:bCs/>
        </w:rPr>
        <w:t xml:space="preserve">. </w:t>
      </w:r>
    </w:p>
    <w:p w14:paraId="5FB869B8" w14:textId="22A348AE" w:rsidR="00617A3A" w:rsidRDefault="00617A3A" w:rsidP="00617A3A">
      <w:pPr>
        <w:spacing w:after="240"/>
        <w:jc w:val="both"/>
        <w:rPr>
          <w:b/>
          <w:bCs/>
        </w:rPr>
      </w:pPr>
      <w:r>
        <w:rPr>
          <w:b/>
          <w:bCs/>
        </w:rPr>
        <w:t>SDG-aligned strategic planning and budgeting</w:t>
      </w:r>
      <w:r w:rsidR="00434C31">
        <w:rPr>
          <w:b/>
          <w:bCs/>
        </w:rPr>
        <w:t xml:space="preserve"> is planned by INFF. </w:t>
      </w:r>
    </w:p>
    <w:p w14:paraId="7955DFBA" w14:textId="77777777" w:rsidR="0018289E" w:rsidRDefault="0018289E"/>
    <w:sectPr w:rsidR="0018289E">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42C994" w14:textId="77777777" w:rsidR="00B562CD" w:rsidRDefault="00B562CD" w:rsidP="007E71B4">
      <w:pPr>
        <w:spacing w:after="0" w:line="240" w:lineRule="auto"/>
      </w:pPr>
      <w:r>
        <w:separator/>
      </w:r>
    </w:p>
  </w:endnote>
  <w:endnote w:type="continuationSeparator" w:id="0">
    <w:p w14:paraId="3FA25DA2" w14:textId="77777777" w:rsidR="00B562CD" w:rsidRDefault="00B562CD" w:rsidP="007E71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CC6021" w14:textId="77777777" w:rsidR="00B562CD" w:rsidRDefault="00B562CD" w:rsidP="007E71B4">
      <w:pPr>
        <w:spacing w:after="0" w:line="240" w:lineRule="auto"/>
      </w:pPr>
      <w:r>
        <w:separator/>
      </w:r>
    </w:p>
  </w:footnote>
  <w:footnote w:type="continuationSeparator" w:id="0">
    <w:p w14:paraId="52BB7C9D" w14:textId="77777777" w:rsidR="00B562CD" w:rsidRDefault="00B562CD" w:rsidP="007E71B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3958F8"/>
    <w:multiLevelType w:val="multilevel"/>
    <w:tmpl w:val="F15CD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8874A1E"/>
    <w:multiLevelType w:val="hybridMultilevel"/>
    <w:tmpl w:val="96A00316"/>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858783810">
    <w:abstractNumId w:val="1"/>
  </w:num>
  <w:num w:numId="2" w16cid:durableId="20348403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288F"/>
    <w:rsid w:val="00041B3F"/>
    <w:rsid w:val="0006520B"/>
    <w:rsid w:val="000B2855"/>
    <w:rsid w:val="000D13DD"/>
    <w:rsid w:val="000F0775"/>
    <w:rsid w:val="001664A1"/>
    <w:rsid w:val="001724C3"/>
    <w:rsid w:val="00172755"/>
    <w:rsid w:val="0018289E"/>
    <w:rsid w:val="001F756C"/>
    <w:rsid w:val="00201DEB"/>
    <w:rsid w:val="00224A5A"/>
    <w:rsid w:val="00316A0F"/>
    <w:rsid w:val="003610E3"/>
    <w:rsid w:val="003D57EE"/>
    <w:rsid w:val="0041666E"/>
    <w:rsid w:val="0042402B"/>
    <w:rsid w:val="00432386"/>
    <w:rsid w:val="004342FF"/>
    <w:rsid w:val="00434C31"/>
    <w:rsid w:val="004358AC"/>
    <w:rsid w:val="00437732"/>
    <w:rsid w:val="00444E66"/>
    <w:rsid w:val="00450A93"/>
    <w:rsid w:val="004A08FA"/>
    <w:rsid w:val="00525376"/>
    <w:rsid w:val="00617A3A"/>
    <w:rsid w:val="00654BED"/>
    <w:rsid w:val="00660B88"/>
    <w:rsid w:val="006746D5"/>
    <w:rsid w:val="0067482D"/>
    <w:rsid w:val="00683C64"/>
    <w:rsid w:val="006908B8"/>
    <w:rsid w:val="00694E11"/>
    <w:rsid w:val="00697486"/>
    <w:rsid w:val="006E0164"/>
    <w:rsid w:val="006E12DA"/>
    <w:rsid w:val="007377F3"/>
    <w:rsid w:val="00746C64"/>
    <w:rsid w:val="00797715"/>
    <w:rsid w:val="007B493E"/>
    <w:rsid w:val="007E71B4"/>
    <w:rsid w:val="007F1A33"/>
    <w:rsid w:val="007F3B50"/>
    <w:rsid w:val="008167CF"/>
    <w:rsid w:val="0081764E"/>
    <w:rsid w:val="008378A7"/>
    <w:rsid w:val="008826D3"/>
    <w:rsid w:val="008A0C2B"/>
    <w:rsid w:val="008E13A4"/>
    <w:rsid w:val="008F731E"/>
    <w:rsid w:val="0090288F"/>
    <w:rsid w:val="00910836"/>
    <w:rsid w:val="00927F14"/>
    <w:rsid w:val="00957128"/>
    <w:rsid w:val="00983232"/>
    <w:rsid w:val="00987BA5"/>
    <w:rsid w:val="009C0E86"/>
    <w:rsid w:val="009C1647"/>
    <w:rsid w:val="00A028C9"/>
    <w:rsid w:val="00A21AF5"/>
    <w:rsid w:val="00A40037"/>
    <w:rsid w:val="00AD40E4"/>
    <w:rsid w:val="00AF34CF"/>
    <w:rsid w:val="00B051FE"/>
    <w:rsid w:val="00B26029"/>
    <w:rsid w:val="00B502CB"/>
    <w:rsid w:val="00B562CD"/>
    <w:rsid w:val="00B80257"/>
    <w:rsid w:val="00B87BA3"/>
    <w:rsid w:val="00BA3B7F"/>
    <w:rsid w:val="00BC5B6D"/>
    <w:rsid w:val="00C1185B"/>
    <w:rsid w:val="00C23CDA"/>
    <w:rsid w:val="00C3301D"/>
    <w:rsid w:val="00C42EED"/>
    <w:rsid w:val="00C51F98"/>
    <w:rsid w:val="00C73BB3"/>
    <w:rsid w:val="00C77DE4"/>
    <w:rsid w:val="00CB4BEC"/>
    <w:rsid w:val="00D266E4"/>
    <w:rsid w:val="00D701D5"/>
    <w:rsid w:val="00D702D6"/>
    <w:rsid w:val="00DA507D"/>
    <w:rsid w:val="00DB3E11"/>
    <w:rsid w:val="00DD6C43"/>
    <w:rsid w:val="00DE1548"/>
    <w:rsid w:val="00DE4D97"/>
    <w:rsid w:val="00DF4F20"/>
    <w:rsid w:val="00E833DE"/>
    <w:rsid w:val="00E84E67"/>
    <w:rsid w:val="00EE100B"/>
    <w:rsid w:val="00F061E9"/>
    <w:rsid w:val="00F16A47"/>
    <w:rsid w:val="00F17390"/>
    <w:rsid w:val="00FD3BA3"/>
  </w:rsids>
  <m:mathPr>
    <m:mathFont m:val="Cambria Math"/>
    <m:brkBin m:val="before"/>
    <m:brkBinSub m:val="--"/>
    <m:smallFrac m:val="0"/>
    <m:dispDef/>
    <m:lMargin m:val="0"/>
    <m:rMargin m:val="0"/>
    <m:defJc m:val="centerGroup"/>
    <m:wrapIndent m:val="1440"/>
    <m:intLim m:val="subSup"/>
    <m:naryLim m:val="undOvr"/>
  </m:mathPr>
  <w:themeFontLang w:val="ru-K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9D0995"/>
  <w15:chartTrackingRefBased/>
  <w15:docId w15:val="{10A7C5B9-5489-42DA-AE26-1741E0F7D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288F"/>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0288F"/>
    <w:rPr>
      <w:color w:val="0563C1" w:themeColor="hyperlink"/>
      <w:u w:val="single"/>
    </w:rPr>
  </w:style>
  <w:style w:type="paragraph" w:styleId="a4">
    <w:name w:val="List Paragraph"/>
    <w:basedOn w:val="a"/>
    <w:uiPriority w:val="34"/>
    <w:qFormat/>
    <w:rsid w:val="001F756C"/>
    <w:pPr>
      <w:ind w:left="720"/>
      <w:contextualSpacing/>
    </w:pPr>
  </w:style>
  <w:style w:type="paragraph" w:styleId="a5">
    <w:name w:val="Normal (Web)"/>
    <w:basedOn w:val="a"/>
    <w:uiPriority w:val="99"/>
    <w:semiHidden/>
    <w:unhideWhenUsed/>
    <w:rsid w:val="008F731E"/>
    <w:pPr>
      <w:spacing w:before="100" w:beforeAutospacing="1" w:after="100" w:afterAutospacing="1" w:line="240" w:lineRule="auto"/>
    </w:pPr>
    <w:rPr>
      <w:rFonts w:ascii="Times New Roman" w:eastAsia="Times New Roman" w:hAnsi="Times New Roman" w:cs="Times New Roman"/>
      <w:sz w:val="24"/>
      <w:szCs w:val="24"/>
      <w:lang w:val="ru-KG" w:eastAsia="ru-KG"/>
    </w:rPr>
  </w:style>
  <w:style w:type="character" w:styleId="a6">
    <w:name w:val="Unresolved Mention"/>
    <w:basedOn w:val="a0"/>
    <w:uiPriority w:val="99"/>
    <w:semiHidden/>
    <w:unhideWhenUsed/>
    <w:rsid w:val="009C0E86"/>
    <w:rPr>
      <w:color w:val="605E5C"/>
      <w:shd w:val="clear" w:color="auto" w:fill="E1DFDD"/>
    </w:rPr>
  </w:style>
  <w:style w:type="paragraph" w:styleId="a7">
    <w:name w:val="footnote text"/>
    <w:basedOn w:val="a"/>
    <w:link w:val="a8"/>
    <w:uiPriority w:val="99"/>
    <w:semiHidden/>
    <w:unhideWhenUsed/>
    <w:rsid w:val="007E71B4"/>
    <w:pPr>
      <w:spacing w:after="0" w:line="240" w:lineRule="auto"/>
    </w:pPr>
    <w:rPr>
      <w:sz w:val="20"/>
      <w:szCs w:val="20"/>
    </w:rPr>
  </w:style>
  <w:style w:type="character" w:customStyle="1" w:styleId="a8">
    <w:name w:val="Текст сноски Знак"/>
    <w:basedOn w:val="a0"/>
    <w:link w:val="a7"/>
    <w:uiPriority w:val="99"/>
    <w:semiHidden/>
    <w:rsid w:val="007E71B4"/>
    <w:rPr>
      <w:sz w:val="20"/>
      <w:szCs w:val="20"/>
      <w:lang w:val="en-US"/>
    </w:rPr>
  </w:style>
  <w:style w:type="character" w:styleId="a9">
    <w:name w:val="footnote reference"/>
    <w:basedOn w:val="a0"/>
    <w:uiPriority w:val="99"/>
    <w:semiHidden/>
    <w:unhideWhenUsed/>
    <w:rsid w:val="007E71B4"/>
    <w:rPr>
      <w:vertAlign w:val="superscript"/>
    </w:rPr>
  </w:style>
  <w:style w:type="character" w:styleId="aa">
    <w:name w:val="annotation reference"/>
    <w:basedOn w:val="a0"/>
    <w:uiPriority w:val="99"/>
    <w:semiHidden/>
    <w:unhideWhenUsed/>
    <w:rsid w:val="00AF34CF"/>
    <w:rPr>
      <w:sz w:val="16"/>
      <w:szCs w:val="16"/>
    </w:rPr>
  </w:style>
  <w:style w:type="paragraph" w:styleId="ab">
    <w:name w:val="annotation text"/>
    <w:basedOn w:val="a"/>
    <w:link w:val="ac"/>
    <w:uiPriority w:val="99"/>
    <w:semiHidden/>
    <w:unhideWhenUsed/>
    <w:rsid w:val="00AF34CF"/>
    <w:pPr>
      <w:spacing w:line="240" w:lineRule="auto"/>
    </w:pPr>
    <w:rPr>
      <w:sz w:val="20"/>
      <w:szCs w:val="20"/>
    </w:rPr>
  </w:style>
  <w:style w:type="character" w:customStyle="1" w:styleId="ac">
    <w:name w:val="Текст примечания Знак"/>
    <w:basedOn w:val="a0"/>
    <w:link w:val="ab"/>
    <w:uiPriority w:val="99"/>
    <w:semiHidden/>
    <w:rsid w:val="00AF34CF"/>
    <w:rPr>
      <w:sz w:val="20"/>
      <w:szCs w:val="20"/>
      <w:lang w:val="en-US"/>
    </w:rPr>
  </w:style>
  <w:style w:type="paragraph" w:styleId="ad">
    <w:name w:val="annotation subject"/>
    <w:basedOn w:val="ab"/>
    <w:next w:val="ab"/>
    <w:link w:val="ae"/>
    <w:uiPriority w:val="99"/>
    <w:semiHidden/>
    <w:unhideWhenUsed/>
    <w:rsid w:val="00AF34CF"/>
    <w:rPr>
      <w:b/>
      <w:bCs/>
    </w:rPr>
  </w:style>
  <w:style w:type="character" w:customStyle="1" w:styleId="ae">
    <w:name w:val="Тема примечания Знак"/>
    <w:basedOn w:val="ac"/>
    <w:link w:val="ad"/>
    <w:uiPriority w:val="99"/>
    <w:semiHidden/>
    <w:rsid w:val="00AF34CF"/>
    <w:rPr>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6674305">
      <w:bodyDiv w:val="1"/>
      <w:marLeft w:val="0"/>
      <w:marRight w:val="0"/>
      <w:marTop w:val="0"/>
      <w:marBottom w:val="0"/>
      <w:divBdr>
        <w:top w:val="none" w:sz="0" w:space="0" w:color="auto"/>
        <w:left w:val="none" w:sz="0" w:space="0" w:color="auto"/>
        <w:bottom w:val="none" w:sz="0" w:space="0" w:color="auto"/>
        <w:right w:val="none" w:sz="0" w:space="0" w:color="auto"/>
      </w:divBdr>
    </w:div>
    <w:div w:id="697848813">
      <w:bodyDiv w:val="1"/>
      <w:marLeft w:val="0"/>
      <w:marRight w:val="0"/>
      <w:marTop w:val="0"/>
      <w:marBottom w:val="0"/>
      <w:divBdr>
        <w:top w:val="none" w:sz="0" w:space="0" w:color="auto"/>
        <w:left w:val="none" w:sz="0" w:space="0" w:color="auto"/>
        <w:bottom w:val="none" w:sz="0" w:space="0" w:color="auto"/>
        <w:right w:val="none" w:sz="0" w:space="0" w:color="auto"/>
      </w:divBdr>
      <w:divsChild>
        <w:div w:id="1275866899">
          <w:marLeft w:val="0"/>
          <w:marRight w:val="0"/>
          <w:marTop w:val="0"/>
          <w:marBottom w:val="0"/>
          <w:divBdr>
            <w:top w:val="none" w:sz="0" w:space="0" w:color="auto"/>
            <w:left w:val="none" w:sz="0" w:space="0" w:color="auto"/>
            <w:bottom w:val="none" w:sz="0" w:space="0" w:color="auto"/>
            <w:right w:val="none" w:sz="0" w:space="0" w:color="auto"/>
          </w:divBdr>
          <w:divsChild>
            <w:div w:id="1235968255">
              <w:marLeft w:val="0"/>
              <w:marRight w:val="0"/>
              <w:marTop w:val="180"/>
              <w:marBottom w:val="180"/>
              <w:divBdr>
                <w:top w:val="none" w:sz="0" w:space="0" w:color="auto"/>
                <w:left w:val="none" w:sz="0" w:space="0" w:color="auto"/>
                <w:bottom w:val="none" w:sz="0" w:space="0" w:color="auto"/>
                <w:right w:val="none" w:sz="0" w:space="0" w:color="auto"/>
              </w:divBdr>
            </w:div>
          </w:divsChild>
        </w:div>
        <w:div w:id="1614946337">
          <w:marLeft w:val="0"/>
          <w:marRight w:val="0"/>
          <w:marTop w:val="0"/>
          <w:marBottom w:val="0"/>
          <w:divBdr>
            <w:top w:val="none" w:sz="0" w:space="0" w:color="auto"/>
            <w:left w:val="none" w:sz="0" w:space="0" w:color="auto"/>
            <w:bottom w:val="none" w:sz="0" w:space="0" w:color="auto"/>
            <w:right w:val="none" w:sz="0" w:space="0" w:color="auto"/>
          </w:divBdr>
          <w:divsChild>
            <w:div w:id="1295940626">
              <w:marLeft w:val="0"/>
              <w:marRight w:val="0"/>
              <w:marTop w:val="0"/>
              <w:marBottom w:val="0"/>
              <w:divBdr>
                <w:top w:val="none" w:sz="0" w:space="0" w:color="auto"/>
                <w:left w:val="none" w:sz="0" w:space="0" w:color="auto"/>
                <w:bottom w:val="none" w:sz="0" w:space="0" w:color="auto"/>
                <w:right w:val="none" w:sz="0" w:space="0" w:color="auto"/>
              </w:divBdr>
              <w:divsChild>
                <w:div w:id="89396471">
                  <w:marLeft w:val="0"/>
                  <w:marRight w:val="0"/>
                  <w:marTop w:val="0"/>
                  <w:marBottom w:val="0"/>
                  <w:divBdr>
                    <w:top w:val="none" w:sz="0" w:space="0" w:color="auto"/>
                    <w:left w:val="none" w:sz="0" w:space="0" w:color="auto"/>
                    <w:bottom w:val="none" w:sz="0" w:space="0" w:color="auto"/>
                    <w:right w:val="none" w:sz="0" w:space="0" w:color="auto"/>
                  </w:divBdr>
                  <w:divsChild>
                    <w:div w:id="157238053">
                      <w:marLeft w:val="0"/>
                      <w:marRight w:val="0"/>
                      <w:marTop w:val="0"/>
                      <w:marBottom w:val="0"/>
                      <w:divBdr>
                        <w:top w:val="none" w:sz="0" w:space="0" w:color="auto"/>
                        <w:left w:val="none" w:sz="0" w:space="0" w:color="auto"/>
                        <w:bottom w:val="none" w:sz="0" w:space="0" w:color="auto"/>
                        <w:right w:val="none" w:sz="0" w:space="0" w:color="auto"/>
                      </w:divBdr>
                      <w:divsChild>
                        <w:div w:id="1856654912">
                          <w:marLeft w:val="0"/>
                          <w:marRight w:val="0"/>
                          <w:marTop w:val="0"/>
                          <w:marBottom w:val="0"/>
                          <w:divBdr>
                            <w:top w:val="none" w:sz="0" w:space="0" w:color="auto"/>
                            <w:left w:val="none" w:sz="0" w:space="0" w:color="auto"/>
                            <w:bottom w:val="none" w:sz="0" w:space="0" w:color="auto"/>
                            <w:right w:val="none" w:sz="0" w:space="0" w:color="auto"/>
                          </w:divBdr>
                          <w:divsChild>
                            <w:div w:id="194684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636475">
      <w:bodyDiv w:val="1"/>
      <w:marLeft w:val="0"/>
      <w:marRight w:val="0"/>
      <w:marTop w:val="0"/>
      <w:marBottom w:val="0"/>
      <w:divBdr>
        <w:top w:val="none" w:sz="0" w:space="0" w:color="auto"/>
        <w:left w:val="none" w:sz="0" w:space="0" w:color="auto"/>
        <w:bottom w:val="none" w:sz="0" w:space="0" w:color="auto"/>
        <w:right w:val="none" w:sz="0" w:space="0" w:color="auto"/>
      </w:divBdr>
      <w:divsChild>
        <w:div w:id="1775397700">
          <w:marLeft w:val="0"/>
          <w:marRight w:val="0"/>
          <w:marTop w:val="0"/>
          <w:marBottom w:val="180"/>
          <w:divBdr>
            <w:top w:val="none" w:sz="0" w:space="0" w:color="auto"/>
            <w:left w:val="none" w:sz="0" w:space="0" w:color="auto"/>
            <w:bottom w:val="none" w:sz="0" w:space="0" w:color="auto"/>
            <w:right w:val="none" w:sz="0" w:space="0" w:color="auto"/>
          </w:divBdr>
        </w:div>
        <w:div w:id="883711064">
          <w:marLeft w:val="0"/>
          <w:marRight w:val="0"/>
          <w:marTop w:val="0"/>
          <w:marBottom w:val="0"/>
          <w:divBdr>
            <w:top w:val="none" w:sz="0" w:space="0" w:color="auto"/>
            <w:left w:val="none" w:sz="0" w:space="0" w:color="auto"/>
            <w:bottom w:val="none" w:sz="0" w:space="0" w:color="auto"/>
            <w:right w:val="none" w:sz="0" w:space="0" w:color="auto"/>
          </w:divBdr>
          <w:divsChild>
            <w:div w:id="289165302">
              <w:marLeft w:val="-300"/>
              <w:marRight w:val="0"/>
              <w:marTop w:val="0"/>
              <w:marBottom w:val="0"/>
              <w:divBdr>
                <w:top w:val="none" w:sz="0" w:space="0" w:color="auto"/>
                <w:left w:val="none" w:sz="0" w:space="0" w:color="auto"/>
                <w:bottom w:val="none" w:sz="0" w:space="0" w:color="auto"/>
                <w:right w:val="none" w:sz="0" w:space="0" w:color="auto"/>
              </w:divBdr>
              <w:divsChild>
                <w:div w:id="850338198">
                  <w:marLeft w:val="0"/>
                  <w:marRight w:val="0"/>
                  <w:marTop w:val="90"/>
                  <w:marBottom w:val="0"/>
                  <w:divBdr>
                    <w:top w:val="none" w:sz="0" w:space="0" w:color="auto"/>
                    <w:left w:val="none" w:sz="0" w:space="0" w:color="auto"/>
                    <w:bottom w:val="none" w:sz="0" w:space="0" w:color="auto"/>
                    <w:right w:val="none" w:sz="0" w:space="0" w:color="auto"/>
                  </w:divBdr>
                </w:div>
              </w:divsChild>
            </w:div>
          </w:divsChild>
        </w:div>
      </w:divsChild>
    </w:div>
    <w:div w:id="1149634731">
      <w:bodyDiv w:val="1"/>
      <w:marLeft w:val="0"/>
      <w:marRight w:val="0"/>
      <w:marTop w:val="0"/>
      <w:marBottom w:val="0"/>
      <w:divBdr>
        <w:top w:val="none" w:sz="0" w:space="0" w:color="auto"/>
        <w:left w:val="none" w:sz="0" w:space="0" w:color="auto"/>
        <w:bottom w:val="none" w:sz="0" w:space="0" w:color="auto"/>
        <w:right w:val="none" w:sz="0" w:space="0" w:color="auto"/>
      </w:divBdr>
      <w:divsChild>
        <w:div w:id="1010059951">
          <w:marLeft w:val="0"/>
          <w:marRight w:val="0"/>
          <w:marTop w:val="0"/>
          <w:marBottom w:val="0"/>
          <w:divBdr>
            <w:top w:val="none" w:sz="0" w:space="0" w:color="auto"/>
            <w:left w:val="none" w:sz="0" w:space="0" w:color="auto"/>
            <w:bottom w:val="none" w:sz="0" w:space="0" w:color="auto"/>
            <w:right w:val="none" w:sz="0" w:space="0" w:color="auto"/>
          </w:divBdr>
          <w:divsChild>
            <w:div w:id="427387866">
              <w:marLeft w:val="0"/>
              <w:marRight w:val="0"/>
              <w:marTop w:val="180"/>
              <w:marBottom w:val="180"/>
              <w:divBdr>
                <w:top w:val="none" w:sz="0" w:space="0" w:color="auto"/>
                <w:left w:val="none" w:sz="0" w:space="0" w:color="auto"/>
                <w:bottom w:val="none" w:sz="0" w:space="0" w:color="auto"/>
                <w:right w:val="none" w:sz="0" w:space="0" w:color="auto"/>
              </w:divBdr>
            </w:div>
          </w:divsChild>
        </w:div>
        <w:div w:id="1927037281">
          <w:marLeft w:val="0"/>
          <w:marRight w:val="0"/>
          <w:marTop w:val="0"/>
          <w:marBottom w:val="0"/>
          <w:divBdr>
            <w:top w:val="none" w:sz="0" w:space="0" w:color="auto"/>
            <w:left w:val="none" w:sz="0" w:space="0" w:color="auto"/>
            <w:bottom w:val="none" w:sz="0" w:space="0" w:color="auto"/>
            <w:right w:val="none" w:sz="0" w:space="0" w:color="auto"/>
          </w:divBdr>
          <w:divsChild>
            <w:div w:id="1836993040">
              <w:marLeft w:val="0"/>
              <w:marRight w:val="0"/>
              <w:marTop w:val="0"/>
              <w:marBottom w:val="0"/>
              <w:divBdr>
                <w:top w:val="none" w:sz="0" w:space="0" w:color="auto"/>
                <w:left w:val="none" w:sz="0" w:space="0" w:color="auto"/>
                <w:bottom w:val="none" w:sz="0" w:space="0" w:color="auto"/>
                <w:right w:val="none" w:sz="0" w:space="0" w:color="auto"/>
              </w:divBdr>
              <w:divsChild>
                <w:div w:id="1951862761">
                  <w:marLeft w:val="0"/>
                  <w:marRight w:val="0"/>
                  <w:marTop w:val="0"/>
                  <w:marBottom w:val="0"/>
                  <w:divBdr>
                    <w:top w:val="none" w:sz="0" w:space="0" w:color="auto"/>
                    <w:left w:val="none" w:sz="0" w:space="0" w:color="auto"/>
                    <w:bottom w:val="none" w:sz="0" w:space="0" w:color="auto"/>
                    <w:right w:val="none" w:sz="0" w:space="0" w:color="auto"/>
                  </w:divBdr>
                  <w:divsChild>
                    <w:div w:id="1965187912">
                      <w:marLeft w:val="0"/>
                      <w:marRight w:val="0"/>
                      <w:marTop w:val="0"/>
                      <w:marBottom w:val="0"/>
                      <w:divBdr>
                        <w:top w:val="none" w:sz="0" w:space="0" w:color="auto"/>
                        <w:left w:val="none" w:sz="0" w:space="0" w:color="auto"/>
                        <w:bottom w:val="none" w:sz="0" w:space="0" w:color="auto"/>
                        <w:right w:val="none" w:sz="0" w:space="0" w:color="auto"/>
                      </w:divBdr>
                      <w:divsChild>
                        <w:div w:id="23556257">
                          <w:marLeft w:val="0"/>
                          <w:marRight w:val="0"/>
                          <w:marTop w:val="0"/>
                          <w:marBottom w:val="0"/>
                          <w:divBdr>
                            <w:top w:val="none" w:sz="0" w:space="0" w:color="auto"/>
                            <w:left w:val="none" w:sz="0" w:space="0" w:color="auto"/>
                            <w:bottom w:val="none" w:sz="0" w:space="0" w:color="auto"/>
                            <w:right w:val="none" w:sz="0" w:space="0" w:color="auto"/>
                          </w:divBdr>
                          <w:divsChild>
                            <w:div w:id="723525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8380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f4af4a3df54d53aecf7035680104b3d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86556461743b74db085444c41c941c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FunctionalArea xmlns="d9cf0e28-81d2-4dc7-8b10-820d80ed680d">Programme and Project</FunctionalArea>
    <FileClassificationMode xmlns="d9cf0e28-81d2-4dc7-8b10-820d80ed680d">Public</FileClassificationMode>
    <lcf76f155ced4ddcb4097134ff3c332f xmlns="d9cf0e28-81d2-4dc7-8b10-820d80ed680d">
      <Terms xmlns="http://schemas.microsoft.com/office/infopath/2007/PartnerControls"/>
    </lcf76f155ced4ddcb4097134ff3c332f>
    <TaxCatchAll xmlns="e91d5986-7c29-4ed1-8a54-b8fb378ed474" xsi:nil="true"/>
    <DocCoverageStartDate xmlns="d9cf0e28-81d2-4dc7-8b10-820d80ed680d">2023-01-01T05:00:00+00:00</DocCoverageStartDate>
    <ProjectNumber xmlns="d9cf0e28-81d2-4dc7-8b10-820d80ed680d">00108999</ProjectNumber>
    <OperatingUnit xmlns="d9cf0e28-81d2-4dc7-8b10-820d80ed680d">UNDP-KGZ</OperatingUnit>
    <FocusArea xmlns="d9cf0e28-81d2-4dc7-8b10-820d80ed680d">Capacity Development</FocusArea>
    <DocumentType xmlns="d9cf0e28-81d2-4dc7-8b10-820d80ed680d">Project brief or Concept note</DocumentType>
    <OutputNumber xmlns="d9cf0e28-81d2-4dc7-8b10-820d80ed680d">00108493</OutputNumber>
    <DocumentCategory xmlns="d9cf0e28-81d2-4dc7-8b10-820d80ed680d">Project</DocumentCategory>
    <AuthorName xmlns="d9cf0e28-81d2-4dc7-8b10-820d80ed680d">UNDP</AuthorName>
    <FileNameDescription xmlns="d9cf0e28-81d2-4dc7-8b10-820d80ed680d">SDG offer 2023</FileNameDescription>
    <Language xmlns="d9cf0e28-81d2-4dc7-8b10-820d80ed680d">English</Language>
    <OfficeCountry xmlns="d9cf0e28-81d2-4dc7-8b10-820d80ed680d">B0556 - Kyrgyzstan - Bishkek</OfficeCountry>
    <DocumentStatus xmlns="d9cf0e28-81d2-4dc7-8b10-820d80ed680d">Reviewed</DocumentStatus>
    <DocCoverageEndDate xmlns="d9cf0e28-81d2-4dc7-8b10-820d80ed680d">2023-12-31T05:00:00+00:00</DocCoverageEndDate>
  </documentManagement>
</p:properties>
</file>

<file path=customXml/itemProps1.xml><?xml version="1.0" encoding="utf-8"?>
<ds:datastoreItem xmlns:ds="http://schemas.openxmlformats.org/officeDocument/2006/customXml" ds:itemID="{B78EE97A-908C-483C-BF86-00196C6D3437}">
  <ds:schemaRefs>
    <ds:schemaRef ds:uri="http://schemas.openxmlformats.org/officeDocument/2006/bibliography"/>
  </ds:schemaRefs>
</ds:datastoreItem>
</file>

<file path=customXml/itemProps2.xml><?xml version="1.0" encoding="utf-8"?>
<ds:datastoreItem xmlns:ds="http://schemas.openxmlformats.org/officeDocument/2006/customXml" ds:itemID="{939B3594-86E4-40AF-A8B1-1918CE224230}"/>
</file>

<file path=customXml/itemProps3.xml><?xml version="1.0" encoding="utf-8"?>
<ds:datastoreItem xmlns:ds="http://schemas.openxmlformats.org/officeDocument/2006/customXml" ds:itemID="{23D35524-ABF8-4412-A627-53A17EDC7751}"/>
</file>

<file path=customXml/itemProps4.xml><?xml version="1.0" encoding="utf-8"?>
<ds:datastoreItem xmlns:ds="http://schemas.openxmlformats.org/officeDocument/2006/customXml" ds:itemID="{DC46BAB1-6E3E-4EA1-AE67-F2046A04F342}"/>
</file>

<file path=docProps/app.xml><?xml version="1.0" encoding="utf-8"?>
<Properties xmlns="http://schemas.openxmlformats.org/officeDocument/2006/extended-properties" xmlns:vt="http://schemas.openxmlformats.org/officeDocument/2006/docPropsVTypes">
  <Template>Normal</Template>
  <TotalTime>575</TotalTime>
  <Pages>3</Pages>
  <Words>1447</Words>
  <Characters>8252</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SDG offer 2023</dc:title>
  <dc:subject/>
  <dc:creator>Gulnara Abdykalykova</dc:creator>
  <cp:keywords/>
  <dc:description/>
  <cp:lastModifiedBy>Gulnara Abdykalykova</cp:lastModifiedBy>
  <cp:revision>70</cp:revision>
  <dcterms:created xsi:type="dcterms:W3CDTF">2022-12-20T05:29:00Z</dcterms:created>
  <dcterms:modified xsi:type="dcterms:W3CDTF">2023-11-29T06:18:00Z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0x010100155F732436BD414ABE4F9007290F88BC</vt:lpwstr>
  </property>
</Properties>
</file>